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V 197</w:t>
      </w:r>
    </w:p>
    <w:p>
      <w:r>
        <w:t>Bundesgericht (BGE), 1999-04-19, FR</w:t>
      </w:r>
    </w:p>
    <w:p>
      <w:r>
        <w:rPr>
          <w:b/>
        </w:rPr>
        <w:t xml:space="preserve">Quelle: </w:t>
      </w:r>
      <w:r>
        <w:t>https://mcp.opencaselaw.ch/entscheid/bge_125 V 197</w:t>
      </w:r>
    </w:p>
    <w:p>
      <w:r>
        <w:t>FR: ATF 125 V 197</w:t>
      </w:r>
    </w:p>
    <w:p>
      <w:r>
        <w:t>IT: DTF 125 V 197</w:t>
      </w:r>
    </w:p>
    <w:p>
      <w:pPr>
        <w:pStyle w:val="Heading2"/>
      </w:pPr>
      <w:r>
        <w:t>Regeste</w:t>
      </w:r>
    </w:p>
    <w:p>
      <w:r>
        <w:t>Regeste Art. 30 Abs. 1 lit. d, Art. 72 Abs. 1 und Art. 75 Abs. 1 AVIG; Art. 97 Abs. 1 lit. b AVIV: Sanktion bei Verweigerung der Teilnahme an einem Beschäftigungsprogramm. Die für den Fall der Ablehnung einer Zwischenverdienstarbeit geltende Rechtsprechung, wonach die Einstellung in der Anspruchsberechtigung lediglich die Differenz zwischen dem Anspruch auf Arbeitslosenentschädigung und demjenigen auf Kompensationszahlung betrifft (BGE 122 V 34), ist nicht übertragbar auf den Fall von Versicherten, welche die Teilnahme an einem Beschäftigungsprogramm verweigern.</w:t>
      </w:r>
    </w:p>
    <w:p>
      <w:pPr>
        <w:pStyle w:val="Heading2"/>
      </w:pPr>
      <w:r>
        <w:t>Erwägungen</w:t>
      </w:r>
    </w:p>
    <w:p>
      <w:r>
        <w:rPr>
          <w:b/>
        </w:rPr>
        <w:t>E. 6</w:t>
      </w:r>
    </w:p>
    <w:p>
      <w:r>
        <w:t>Le premier juge a renvoyé la cause à l'OCIAMT afin qu'il procède au calcul du "montant des indemnités journalières 'suspendues'", conformément à la jurisprudence publiée aux ATF 122 V 40 consid. 4c/aa. a) Cette jurisprudence rappelle que le but de la suspension du droit à l'indemnité, dans l'assurance-chômage, vise à faire participer l'assuré de façon équitable au dommage qu'il cause à cette assurance sociale, en raison d'une attitude contraire aux obligations qui lui incombent. C'est pourquoi la durée de la suspension doit, en particulier, être fixée dans une mesure appropriée à la gravité de la faute commise. Cependant, selon cet arrêt, le droit à l'indemnité de l'assuré qui refuse de prendre un travail susceptible de lui procurer un gain intermédiaire ne doit être suspendu que dans la mesure correspondant à la différence entre l'indemnité de chômage et les indemnités compensatoires (compensation de la différence entre les indemnités). b) En l'espèce, la faute du recourant tient dans le fait qu'il s'est abstenu de s'inscrire au programme d'occupation qui lui était proposé. Entrant dans le cadre des "autres mesures" des art. 72 ss LACI destinées à prévenir et à combattre le chômage, les programmes d'occupation sont financés par l'assurance-chômage, notamment en ce qui concerne "le salaire" versé aux assurés pendant leur durée ( art. 75 al. 1 LACI et 97 al. 1 let. b OACI; GERHARDS, Kommentar zum Arbeitslosenversicherungsgesetz, vol. II, n. 27 ad art. 72-75). Partant, la participation d'un assuré à un programme d'occupation ne diminue pas, dans une mesure directement quantifiable, le dommage financier de l'assurance-chômage qui doit, ainsi que le relève l'OCIAMT dans sa détermination sur le recours, continuer à servir des indemnités journalières, ou alors financer le salaire versé à l'assuré. A contrario, le dommage à proprement parler financier que subit l'assurance-chômage, en cas de refus d'un assuré de participer à un programme d'occupation, n'est pas non plus directement quantifiable. Il résulte plutôt du fait que ce dernier, à qui l'occasion d'exercer une activité et d'acquérir des qualifications est offerte, ne la saisit pas et diminue ainsi son aptitude au placement, en violation de son obligation générale de réduire le dommage ( art. 17 LACI ; cf. ATF 121 V 62 consid. 3d; NUSSBAUMER, Arbeitslosenversicherung, in: Schweizerisches Bundesverwaltungsrecht [SBVR], ch.m. 702 sv.; GERHARDS, op.cit., vol. I, n. 29 ad art. 30). BGE 125 V 197 S. 200 Il suit de là que la jurisprudence relative à la compensation de la différence entre les indemnités, applicable en cas de refus d'un travail devant procurer un gain intermédiaire, n'est pas transposable à la situation de l'assuré qui refuse de participer - ou, comme en l'espèce, ne s'annonce pas - à un programme d'occupation. Le renvoi du dossier à l'OCIAMT ordonné par le premier juge, pour calcul "du montant des indemnités journalières 'suspendues'", doit ainsi être annulé.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